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before="360" w:beforeAutospacing="0" w:after="482" w:afterAutospacing="0" w:line="24" w:lineRule="atLeast"/>
        <w:ind w:left="0" w:right="0"/>
        <w:jc w:val="left"/>
        <w:rPr>
          <w:rFonts w:hint="eastAsia" w:ascii="宋体" w:hAnsi="宋体" w:eastAsia="宋体" w:cs="宋体"/>
          <w:color w:val="424242"/>
          <w:sz w:val="14"/>
          <w:szCs w:val="14"/>
        </w:rPr>
      </w:pPr>
      <w:r>
        <w:rPr>
          <w:rFonts w:hint="eastAsia" w:ascii="宋体" w:hAnsi="宋体" w:eastAsia="宋体" w:cs="宋体"/>
          <w:color w:val="424242"/>
          <w:sz w:val="14"/>
          <w:szCs w:val="14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360" w:beforeAutospacing="0" w:after="482" w:afterAutospacing="0" w:line="24" w:lineRule="atLeast"/>
        <w:ind w:left="0" w:right="0"/>
        <w:jc w:val="center"/>
        <w:rPr>
          <w:rFonts w:hint="eastAsia" w:ascii="宋体" w:hAnsi="宋体" w:eastAsia="宋体" w:cs="宋体"/>
          <w:color w:val="424242"/>
          <w:sz w:val="14"/>
          <w:szCs w:val="14"/>
        </w:rPr>
      </w:pPr>
      <w:r>
        <w:rPr>
          <w:rFonts w:hint="eastAsia" w:ascii="微软雅黑" w:hAnsi="微软雅黑" w:eastAsia="微软雅黑" w:cs="微软雅黑"/>
          <w:color w:val="424242"/>
          <w:sz w:val="25"/>
          <w:szCs w:val="25"/>
          <w:shd w:val="clear" w:fill="FFFFFF"/>
        </w:rPr>
        <w:t>东莞市争创一流营商环境攻坚行动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360" w:beforeAutospacing="0" w:after="482" w:afterAutospacing="0" w:line="24" w:lineRule="atLeast"/>
        <w:ind w:left="0" w:right="0"/>
        <w:jc w:val="center"/>
        <w:rPr>
          <w:rFonts w:hint="eastAsia" w:ascii="宋体" w:hAnsi="宋体" w:eastAsia="宋体" w:cs="宋体"/>
          <w:color w:val="424242"/>
          <w:sz w:val="14"/>
          <w:szCs w:val="14"/>
        </w:rPr>
      </w:pPr>
      <w:r>
        <w:rPr>
          <w:rFonts w:hint="eastAsia" w:ascii="微软雅黑" w:hAnsi="微软雅黑" w:eastAsia="微软雅黑" w:cs="微软雅黑"/>
          <w:color w:val="424242"/>
          <w:sz w:val="25"/>
          <w:szCs w:val="25"/>
          <w:shd w:val="clear" w:fill="FFFFFF"/>
        </w:rPr>
        <w:t>任务分解表（2021）</w:t>
      </w:r>
    </w:p>
    <w:tbl>
      <w:tblPr>
        <w:tblStyle w:val="3"/>
        <w:tblW w:w="76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1514"/>
        <w:gridCol w:w="1815"/>
        <w:gridCol w:w="27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主要任务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挂帅领导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牵头部门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责任部门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color w:val="424242"/>
                <w:sz w:val="14"/>
                <w:szCs w:val="14"/>
              </w:rPr>
              <w:t>（一）开办企业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罗晃浩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市市场监管局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市公安局、市人力资源社会保障局、市政务服务数据管理局、市住房公积金管理中心，东莞市税务局、人民银行东莞市中心支行、东莞海关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color w:val="424242"/>
                <w:sz w:val="14"/>
                <w:szCs w:val="14"/>
              </w:rPr>
              <w:t>（二）劳动力市场监管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黎军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市人力资源社会</w:t>
            </w: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br w:type="textWrapping"/>
            </w: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保障局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市财政局、市市场监管局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color w:val="424242"/>
                <w:sz w:val="14"/>
                <w:szCs w:val="14"/>
              </w:rPr>
              <w:t>（三）办理建筑许可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王长青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市住房城乡建设局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市发展改革局、市公安局、市自然资源局、市生态环境局、市水务局、市城市管理综合执法局、市政务服务数据管理局、东莞供电局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color w:val="424242"/>
                <w:sz w:val="14"/>
                <w:szCs w:val="14"/>
              </w:rPr>
              <w:t>（四）政府采购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喻丽君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市财政局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市交通运输局、市公共资源交易中心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color w:val="424242"/>
                <w:sz w:val="14"/>
                <w:szCs w:val="14"/>
              </w:rPr>
              <w:t>（五）招标投标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王长青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市住房城乡建设局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市发展改革局、市交通运输局、市水务局、市城市管理综合执法局、市政务服务数据管理局、市公共资源交易中心、各行业监督部门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color w:val="424242"/>
                <w:sz w:val="14"/>
                <w:szCs w:val="14"/>
              </w:rPr>
              <w:t>（六）获得电力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喻丽君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东莞供电局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市发展改革局、市公安局、市自然资源局、市住房城乡建设局、市交通运输局、市城市管理综合执法局、市政务服务数据管理局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color w:val="424242"/>
                <w:sz w:val="14"/>
                <w:szCs w:val="14"/>
              </w:rPr>
              <w:t>（七）获得用水用气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万卓培，</w:t>
            </w: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br w:type="textWrapping"/>
            </w: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喻丽君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市水务局、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市城市管理综合</w:t>
            </w: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br w:type="textWrapping"/>
            </w: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执法局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市公安局、市自然资源局、市住房城乡建设局、市交通运输局、市政务服务数据管理局、东莞市水务集团、东莞新奥燃气有限公司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color w:val="424242"/>
                <w:sz w:val="14"/>
                <w:szCs w:val="14"/>
              </w:rPr>
              <w:t>（八）登记财产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王长青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市不动产登记中心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市中级法院、市发展改革局、市财政局、市住房城乡建设局、市政务服务数据管理局、东莞市税务局、人民银行东莞市中心支行、东莞银保监分局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color w:val="424242"/>
                <w:sz w:val="14"/>
                <w:szCs w:val="14"/>
              </w:rPr>
              <w:t>（九）获得信贷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罗晃浩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市金融工作局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市发展改革局、东莞市税务局、人民银行东莞市中心支行、东莞银保监分局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color w:val="424242"/>
                <w:sz w:val="14"/>
                <w:szCs w:val="14"/>
              </w:rPr>
              <w:t>（十）保护中小投资者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周兆翔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市司法局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市中级法院、市金融工作局、人民银行东莞市中心支行、东莞银保监分局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color w:val="424242"/>
                <w:sz w:val="14"/>
                <w:szCs w:val="14"/>
              </w:rPr>
              <w:t>（十一）知识产权创造、运用和保护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罗晃浩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市市场监管局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市中级法院、市检察院、市新闻出版局（市版权局）、市公安局、市司法局、市文化广电旅游体育局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color w:val="424242"/>
                <w:sz w:val="14"/>
                <w:szCs w:val="14"/>
              </w:rPr>
              <w:t>（十二）跨境贸易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罗晃浩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市商务局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市财政局、市交通运输局、市政务服务数据管理局、东莞港务集团、东莞海关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color w:val="424242"/>
                <w:sz w:val="14"/>
                <w:szCs w:val="14"/>
              </w:rPr>
              <w:t>（十三）纳税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喻丽君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东莞市税务局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市财政局、市人力资源社会保障局、市医保局、市住房公积金管理中心、东莞海关、人民银行东莞市中心支行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color w:val="424242"/>
                <w:sz w:val="14"/>
                <w:szCs w:val="14"/>
              </w:rPr>
              <w:t>（十四）执行合同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梁杰钊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市中级法院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市第一法院、市第二法院、市第三法院、市司法局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color w:val="424242"/>
                <w:sz w:val="14"/>
                <w:szCs w:val="14"/>
              </w:rPr>
              <w:t>（十五）办理破产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梁杰钊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市中级法院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市第一法院、市第二法院、市第三法院、市司法局、市财政局、市市场监管局、东莞市税务局、人民银行东莞市中心支行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color w:val="424242"/>
                <w:sz w:val="14"/>
                <w:szCs w:val="14"/>
              </w:rPr>
              <w:t>（十六）市场监管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罗晃浩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市市场监管局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市中级法院、市发展改革局、市民政局、市司法局、市信访局、市政务服务数据管理局、市“双随机、一公开”监管工作联席会议成员单位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color w:val="424242"/>
                <w:sz w:val="14"/>
                <w:szCs w:val="14"/>
              </w:rPr>
              <w:t>（十七）政务服务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罗晃浩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市政务服务数据</w:t>
            </w: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br w:type="textWrapping"/>
            </w: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管理局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全市政务服务实施部门、各镇街（园区）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color w:val="424242"/>
                <w:sz w:val="14"/>
                <w:szCs w:val="14"/>
              </w:rPr>
              <w:t>（十八）包容普惠创新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喻丽君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市发展改革局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424242"/>
                <w:sz w:val="14"/>
                <w:szCs w:val="14"/>
              </w:rPr>
              <w:t>市教育局、市科技局、市工业和信息化局、市公安局、市民政局、市人力资源社会保障局、市生态环境局、市交通运输局、市商务局、市文化广电旅游体育局、市医保局、市城市管理综合执法局、东莞海关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C6B77"/>
    <w:rsid w:val="2A1C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2021-08-18T01:48:00Z</dcterms:created>
  <dc:creator>Administrator</dc:creator>
  <cp:lastModifiedBy>Administrator</cp:lastModifiedBy>
  <dcterms:modified xsi:type="dcterms:W3CDTF">2021-08-18T01:49:38Z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D023883D0441467D9C188D7C53A4C211</vt:lpwstr>
  </property>
</Properties>
</file>